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8A29A1" w14:textId="42C2A759" w:rsidR="00F618ED" w:rsidRPr="00446F9D" w:rsidRDefault="00F618ED" w:rsidP="00F618ED">
      <w:pPr>
        <w:pStyle w:val="Header"/>
        <w:tabs>
          <w:tab w:val="clear" w:pos="4536"/>
        </w:tabs>
        <w:rPr>
          <w:i/>
        </w:rPr>
      </w:pPr>
      <w:r w:rsidRPr="00446F9D">
        <w:t>TSG-RAN WG1 #</w:t>
      </w:r>
      <w:r>
        <w:t>87</w:t>
      </w:r>
      <w:r w:rsidRPr="00446F9D">
        <w:tab/>
      </w:r>
      <w:r w:rsidRPr="00363390">
        <w:t>R1-16</w:t>
      </w:r>
      <w:r w:rsidR="006D0FE7">
        <w:t>12913</w:t>
      </w:r>
    </w:p>
    <w:p w14:paraId="296BD30A" w14:textId="77777777" w:rsidR="00F618ED" w:rsidRPr="000833FA" w:rsidRDefault="00F618ED" w:rsidP="00F618ED">
      <w:pPr>
        <w:pStyle w:val="Header"/>
        <w:rPr>
          <w:color w:val="000000"/>
        </w:rPr>
      </w:pPr>
      <w:r>
        <w:t>Reno, NV, USA, November 14 – 18, 2016</w:t>
      </w:r>
    </w:p>
    <w:p w14:paraId="288C0066" w14:textId="77777777" w:rsidR="00F618ED" w:rsidRPr="000833FA" w:rsidRDefault="00F618ED" w:rsidP="00F618ED">
      <w:pPr>
        <w:pStyle w:val="Header"/>
      </w:pPr>
    </w:p>
    <w:p w14:paraId="1DF813C3" w14:textId="77777777" w:rsidR="00F618ED" w:rsidRPr="0003368D" w:rsidRDefault="00F618ED" w:rsidP="00F618ED">
      <w:pPr>
        <w:pStyle w:val="Header"/>
        <w:tabs>
          <w:tab w:val="clear" w:pos="4536"/>
          <w:tab w:val="left" w:pos="1800"/>
        </w:tabs>
        <w:ind w:left="1800" w:hanging="1800"/>
      </w:pPr>
      <w:r w:rsidRPr="0003368D">
        <w:t>Source:</w:t>
      </w:r>
      <w:r w:rsidRPr="0003368D">
        <w:tab/>
        <w:t>Ericsson</w:t>
      </w:r>
    </w:p>
    <w:p w14:paraId="511AD6FD" w14:textId="47B7BF49" w:rsidR="00F618ED" w:rsidRPr="00E220C0" w:rsidRDefault="00F618ED" w:rsidP="00F618ED">
      <w:pPr>
        <w:pStyle w:val="Header"/>
        <w:tabs>
          <w:tab w:val="clear" w:pos="4536"/>
          <w:tab w:val="left" w:pos="1800"/>
        </w:tabs>
      </w:pPr>
      <w:r w:rsidRPr="0003368D">
        <w:t>Title:</w:t>
      </w:r>
      <w:bookmarkStart w:id="0" w:name="Title"/>
      <w:bookmarkEnd w:id="0"/>
      <w:r w:rsidRPr="0003368D">
        <w:tab/>
      </w:r>
      <w:r w:rsidR="00E20E32">
        <w:t xml:space="preserve">On </w:t>
      </w:r>
      <w:r w:rsidR="001B243C">
        <w:t>downlink control signaling</w:t>
      </w:r>
      <w:r w:rsidR="006D0FE7">
        <w:t xml:space="preserve"> structure</w:t>
      </w:r>
      <w:bookmarkStart w:id="1" w:name="_GoBack"/>
      <w:bookmarkEnd w:id="1"/>
    </w:p>
    <w:p w14:paraId="0DB675C4" w14:textId="77777777" w:rsidR="00F618ED" w:rsidRPr="00E220C0" w:rsidRDefault="00F618ED" w:rsidP="00F618ED">
      <w:pPr>
        <w:pStyle w:val="Header"/>
        <w:tabs>
          <w:tab w:val="left" w:pos="1800"/>
        </w:tabs>
      </w:pPr>
      <w:r w:rsidRPr="00E220C0">
        <w:t>Agenda Item:</w:t>
      </w:r>
      <w:bookmarkStart w:id="2" w:name="Source"/>
      <w:bookmarkEnd w:id="2"/>
      <w:r w:rsidRPr="00E220C0">
        <w:tab/>
      </w:r>
      <w:r w:rsidR="0049799A">
        <w:t>7.1.</w:t>
      </w:r>
      <w:r w:rsidR="001B243C">
        <w:t>4.</w:t>
      </w:r>
      <w:r w:rsidR="0049799A">
        <w:t>1</w:t>
      </w:r>
    </w:p>
    <w:p w14:paraId="2BD0891E" w14:textId="77777777" w:rsidR="00F618ED" w:rsidRPr="0003368D" w:rsidRDefault="00F618ED" w:rsidP="00F618ED">
      <w:pPr>
        <w:pStyle w:val="Header"/>
        <w:tabs>
          <w:tab w:val="left" w:pos="1800"/>
        </w:tabs>
      </w:pPr>
      <w:r w:rsidRPr="00E220C0">
        <w:t>Document for:</w:t>
      </w:r>
      <w:r w:rsidRPr="0003368D">
        <w:tab/>
      </w:r>
      <w:bookmarkStart w:id="3" w:name="DocumentFor"/>
      <w:bookmarkEnd w:id="3"/>
      <w:r w:rsidRPr="0003368D">
        <w:t xml:space="preserve">Discussion </w:t>
      </w:r>
      <w:r>
        <w:t>and Decision</w:t>
      </w:r>
    </w:p>
    <w:p w14:paraId="7A28FE1D" w14:textId="77777777" w:rsidR="00F618ED" w:rsidRPr="002100D2" w:rsidRDefault="00F618ED" w:rsidP="00F618ED">
      <w:pPr>
        <w:pBdr>
          <w:bottom w:val="single" w:sz="4" w:space="1" w:color="auto"/>
        </w:pBdr>
        <w:tabs>
          <w:tab w:val="left" w:pos="2552"/>
        </w:tabs>
      </w:pPr>
    </w:p>
    <w:p w14:paraId="11A9A3E9" w14:textId="77777777" w:rsidR="00F618ED" w:rsidRDefault="00F618ED" w:rsidP="00F618ED">
      <w:pPr>
        <w:pStyle w:val="Heading1"/>
        <w:spacing w:before="180"/>
        <w:ind w:left="562" w:hanging="562"/>
      </w:pPr>
      <w:r>
        <w:t>Introduction</w:t>
      </w:r>
    </w:p>
    <w:p w14:paraId="3401E169" w14:textId="77777777" w:rsidR="0052140E" w:rsidRDefault="00DE0D8A" w:rsidP="009A0611">
      <w:pPr>
        <w:pStyle w:val="BodyText"/>
      </w:pPr>
      <w:r>
        <w:t>At RAN1#86</w:t>
      </w:r>
      <w:r w:rsidR="00230310">
        <w:t>bis</w:t>
      </w:r>
      <w:r w:rsidR="006B481E">
        <w:t xml:space="preserve">, </w:t>
      </w:r>
      <w:r>
        <w:t>it was agreed that</w:t>
      </w:r>
    </w:p>
    <w:p w14:paraId="473142B9" w14:textId="77777777" w:rsidR="00230310" w:rsidRPr="005A185F" w:rsidRDefault="00230310" w:rsidP="00230310">
      <w:pPr>
        <w:ind w:left="720"/>
        <w:rPr>
          <w:rFonts w:eastAsia="MS Mincho"/>
          <w:u w:val="single"/>
          <w:lang w:eastAsia="ja-JP"/>
        </w:rPr>
      </w:pPr>
      <w:r w:rsidRPr="005A185F">
        <w:rPr>
          <w:rFonts w:eastAsia="MS Mincho"/>
          <w:u w:val="single"/>
          <w:lang w:eastAsia="ja-JP"/>
        </w:rPr>
        <w:t>For the frequency-domain aspects:</w:t>
      </w:r>
    </w:p>
    <w:p w14:paraId="47D99B48" w14:textId="77777777" w:rsidR="00230310" w:rsidRDefault="00230310" w:rsidP="00230310">
      <w:pPr>
        <w:numPr>
          <w:ilvl w:val="0"/>
          <w:numId w:val="20"/>
        </w:numPr>
        <w:ind w:left="114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 xml:space="preserve">A UE monitors </w:t>
      </w:r>
      <w:r>
        <w:rPr>
          <w:rFonts w:eastAsia="MS Mincho"/>
          <w:lang w:eastAsia="ja-JP"/>
        </w:rPr>
        <w:t>for downlink control information</w:t>
      </w:r>
      <w:r>
        <w:rPr>
          <w:rFonts w:eastAsia="MS Mincho" w:hint="eastAsia"/>
          <w:lang w:eastAsia="ja-JP"/>
        </w:rPr>
        <w:t xml:space="preserve"> in one or more </w:t>
      </w:r>
      <w:r>
        <w:rPr>
          <w:rFonts w:eastAsia="MS Mincho"/>
          <w:lang w:eastAsia="ja-JP"/>
        </w:rPr>
        <w:t>“</w:t>
      </w:r>
      <w:r>
        <w:rPr>
          <w:rFonts w:eastAsia="MS Mincho" w:hint="eastAsia"/>
          <w:lang w:eastAsia="ja-JP"/>
        </w:rPr>
        <w:t xml:space="preserve">control </w:t>
      </w:r>
      <w:proofErr w:type="spellStart"/>
      <w:r>
        <w:rPr>
          <w:rFonts w:eastAsia="MS Mincho" w:hint="eastAsia"/>
          <w:lang w:eastAsia="ja-JP"/>
        </w:rPr>
        <w:t>subband</w:t>
      </w:r>
      <w:proofErr w:type="spellEnd"/>
      <w:r>
        <w:rPr>
          <w:rFonts w:eastAsia="MS Mincho"/>
          <w:lang w:eastAsia="ja-JP"/>
        </w:rPr>
        <w:t>”</w:t>
      </w:r>
    </w:p>
    <w:p w14:paraId="0226FE77" w14:textId="77777777" w:rsidR="00230310" w:rsidRDefault="00230310" w:rsidP="00230310">
      <w:pPr>
        <w:numPr>
          <w:ilvl w:val="1"/>
          <w:numId w:val="20"/>
        </w:numPr>
        <w:ind w:left="156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 xml:space="preserve">This does not preclude that UE may receive additional control </w:t>
      </w:r>
      <w:r>
        <w:rPr>
          <w:rFonts w:eastAsia="MS Mincho"/>
          <w:lang w:eastAsia="ja-JP"/>
        </w:rPr>
        <w:t xml:space="preserve">information </w:t>
      </w:r>
      <w:r>
        <w:rPr>
          <w:rFonts w:eastAsia="MS Mincho" w:hint="eastAsia"/>
          <w:lang w:eastAsia="ja-JP"/>
        </w:rPr>
        <w:t>elsewhere</w:t>
      </w:r>
      <w:r>
        <w:rPr>
          <w:rFonts w:eastAsia="MS Mincho"/>
          <w:lang w:eastAsia="ja-JP"/>
        </w:rPr>
        <w:t xml:space="preserve"> within or outside the control </w:t>
      </w:r>
      <w:proofErr w:type="spellStart"/>
      <w:r>
        <w:rPr>
          <w:rFonts w:eastAsia="MS Mincho"/>
          <w:lang w:eastAsia="ja-JP"/>
        </w:rPr>
        <w:t>subband</w:t>
      </w:r>
      <w:proofErr w:type="spellEnd"/>
      <w:r>
        <w:rPr>
          <w:rFonts w:eastAsia="MS Mincho"/>
          <w:lang w:eastAsia="ja-JP"/>
        </w:rPr>
        <w:t xml:space="preserve"> in the same or different OFDM symbol(s)</w:t>
      </w:r>
    </w:p>
    <w:p w14:paraId="2CFCBE86" w14:textId="77777777" w:rsidR="00230310" w:rsidRPr="00DB2445" w:rsidRDefault="00230310" w:rsidP="00230310">
      <w:pPr>
        <w:numPr>
          <w:ilvl w:val="1"/>
          <w:numId w:val="20"/>
        </w:numPr>
        <w:ind w:left="1560"/>
        <w:rPr>
          <w:rFonts w:eastAsia="MS Mincho"/>
          <w:lang w:eastAsia="ja-JP"/>
        </w:rPr>
      </w:pPr>
      <w:r w:rsidRPr="00DB2445">
        <w:rPr>
          <w:rFonts w:eastAsia="MS Mincho"/>
          <w:lang w:eastAsia="ja-JP"/>
        </w:rPr>
        <w:t xml:space="preserve">FFS: One DCI message is transmitted within one control </w:t>
      </w:r>
      <w:proofErr w:type="spellStart"/>
      <w:r w:rsidRPr="00DB2445">
        <w:rPr>
          <w:rFonts w:eastAsia="MS Mincho"/>
          <w:lang w:eastAsia="ja-JP"/>
        </w:rPr>
        <w:t>subband</w:t>
      </w:r>
      <w:proofErr w:type="spellEnd"/>
      <w:r w:rsidRPr="00DB2445">
        <w:rPr>
          <w:rFonts w:eastAsia="MS Mincho"/>
          <w:lang w:eastAsia="ja-JP"/>
        </w:rPr>
        <w:t>.</w:t>
      </w:r>
    </w:p>
    <w:p w14:paraId="7725E35C" w14:textId="77777777" w:rsidR="00230310" w:rsidRPr="00973237" w:rsidRDefault="00230310" w:rsidP="00230310">
      <w:pPr>
        <w:numPr>
          <w:ilvl w:val="0"/>
          <w:numId w:val="20"/>
        </w:numPr>
        <w:ind w:left="1140"/>
        <w:rPr>
          <w:rFonts w:eastAsia="MS Mincho"/>
          <w:lang w:eastAsia="ja-JP"/>
        </w:rPr>
      </w:pPr>
      <w:r w:rsidRPr="00973237">
        <w:rPr>
          <w:rFonts w:eastAsia="MS Mincho"/>
          <w:lang w:eastAsia="ja-JP"/>
        </w:rPr>
        <w:t xml:space="preserve">A “control </w:t>
      </w:r>
      <w:proofErr w:type="spellStart"/>
      <w:r w:rsidRPr="00973237">
        <w:rPr>
          <w:rFonts w:eastAsia="MS Mincho"/>
          <w:lang w:eastAsia="ja-JP"/>
        </w:rPr>
        <w:t>subband</w:t>
      </w:r>
      <w:proofErr w:type="spellEnd"/>
      <w:r w:rsidRPr="00973237">
        <w:rPr>
          <w:rFonts w:eastAsia="MS Mincho"/>
          <w:lang w:eastAsia="ja-JP"/>
        </w:rPr>
        <w:t xml:space="preserve">” </w:t>
      </w:r>
      <w:r>
        <w:rPr>
          <w:rFonts w:eastAsia="MS Mincho"/>
          <w:lang w:eastAsia="ja-JP"/>
        </w:rPr>
        <w:t>is</w:t>
      </w:r>
      <w:r w:rsidRPr="00973237">
        <w:rPr>
          <w:rFonts w:eastAsia="MS Mincho"/>
          <w:lang w:eastAsia="ja-JP"/>
        </w:rPr>
        <w:t xml:space="preserve"> smaller than or equal to the carrier ba</w:t>
      </w:r>
      <w:r>
        <w:rPr>
          <w:rFonts w:eastAsia="MS Mincho"/>
          <w:lang w:eastAsia="ja-JP"/>
        </w:rPr>
        <w:t>ndwidth (up to a certain limit</w:t>
      </w:r>
      <w:r>
        <w:rPr>
          <w:rFonts w:eastAsia="MS Mincho" w:hint="eastAsia"/>
          <w:lang w:eastAsia="ja-JP"/>
        </w:rPr>
        <w:t>)</w:t>
      </w:r>
      <w:r w:rsidRPr="00973237">
        <w:rPr>
          <w:rFonts w:eastAsia="MS Mincho"/>
          <w:lang w:eastAsia="ja-JP"/>
        </w:rPr>
        <w:t xml:space="preserve"> </w:t>
      </w:r>
    </w:p>
    <w:p w14:paraId="0390389C" w14:textId="77777777" w:rsidR="00230310" w:rsidRDefault="00230310" w:rsidP="00230310">
      <w:pPr>
        <w:numPr>
          <w:ilvl w:val="0"/>
          <w:numId w:val="20"/>
        </w:numPr>
        <w:ind w:left="1140"/>
        <w:rPr>
          <w:rFonts w:eastAsia="MS Mincho"/>
          <w:lang w:eastAsia="ja-JP"/>
        </w:rPr>
      </w:pPr>
      <w:r>
        <w:rPr>
          <w:rFonts w:eastAsia="MS Mincho"/>
          <w:lang w:eastAsia="ja-JP"/>
        </w:rPr>
        <w:t>FFS if a</w:t>
      </w:r>
      <w:r w:rsidRPr="00973237">
        <w:rPr>
          <w:rFonts w:eastAsia="MS Mincho"/>
          <w:lang w:eastAsia="ja-JP"/>
        </w:rPr>
        <w:t xml:space="preserve"> “control </w:t>
      </w:r>
      <w:proofErr w:type="spellStart"/>
      <w:r w:rsidRPr="00973237">
        <w:rPr>
          <w:rFonts w:eastAsia="MS Mincho"/>
          <w:lang w:eastAsia="ja-JP"/>
        </w:rPr>
        <w:t>subband</w:t>
      </w:r>
      <w:proofErr w:type="spellEnd"/>
      <w:r w:rsidRPr="00973237">
        <w:rPr>
          <w:rFonts w:eastAsia="MS Mincho"/>
          <w:lang w:eastAsia="ja-JP"/>
        </w:rPr>
        <w:t xml:space="preserve">” </w:t>
      </w:r>
      <w:r>
        <w:rPr>
          <w:rFonts w:eastAsia="MS Mincho"/>
          <w:lang w:eastAsia="ja-JP"/>
        </w:rPr>
        <w:t xml:space="preserve">is </w:t>
      </w:r>
      <w:r w:rsidRPr="00973237">
        <w:rPr>
          <w:rFonts w:eastAsia="MS Mincho"/>
          <w:lang w:eastAsia="ja-JP"/>
        </w:rPr>
        <w:t>non-contiguous</w:t>
      </w:r>
      <w:r>
        <w:rPr>
          <w:rFonts w:eastAsia="MS Mincho"/>
          <w:lang w:eastAsia="ja-JP"/>
        </w:rPr>
        <w:t xml:space="preserve"> and/or </w:t>
      </w:r>
      <w:r>
        <w:rPr>
          <w:rFonts w:eastAsia="MS Mincho" w:hint="eastAsia"/>
          <w:lang w:eastAsia="ja-JP"/>
        </w:rPr>
        <w:t>contiguous</w:t>
      </w:r>
      <w:r w:rsidRPr="00973237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 xml:space="preserve">in the frequency domain. </w:t>
      </w:r>
    </w:p>
    <w:p w14:paraId="4ED879A2" w14:textId="77777777" w:rsidR="00230310" w:rsidRPr="005A185F" w:rsidRDefault="00230310" w:rsidP="00230310">
      <w:pPr>
        <w:numPr>
          <w:ilvl w:val="0"/>
          <w:numId w:val="20"/>
        </w:numPr>
        <w:ind w:left="1140"/>
        <w:rPr>
          <w:rFonts w:eastAsia="MS Mincho"/>
          <w:b/>
          <w:lang w:eastAsia="ja-JP"/>
        </w:rPr>
      </w:pPr>
      <w:r w:rsidRPr="00973237">
        <w:rPr>
          <w:rFonts w:eastAsia="MS Mincho"/>
          <w:lang w:eastAsia="ja-JP"/>
        </w:rPr>
        <w:t xml:space="preserve">A “control </w:t>
      </w:r>
      <w:proofErr w:type="spellStart"/>
      <w:r w:rsidRPr="00973237">
        <w:rPr>
          <w:rFonts w:eastAsia="MS Mincho"/>
          <w:lang w:eastAsia="ja-JP"/>
        </w:rPr>
        <w:t>subband</w:t>
      </w:r>
      <w:proofErr w:type="spellEnd"/>
      <w:r w:rsidRPr="00973237">
        <w:rPr>
          <w:rFonts w:eastAsia="MS Mincho"/>
          <w:lang w:eastAsia="ja-JP"/>
        </w:rPr>
        <w:t>” consists of an integer number of RBs/PRBs in the frequency domain</w:t>
      </w:r>
    </w:p>
    <w:p w14:paraId="61BF2832" w14:textId="77777777" w:rsidR="00230310" w:rsidRPr="001D688B" w:rsidRDefault="00230310" w:rsidP="00230310">
      <w:pPr>
        <w:numPr>
          <w:ilvl w:val="0"/>
          <w:numId w:val="20"/>
        </w:numPr>
        <w:ind w:left="1140"/>
        <w:rPr>
          <w:rFonts w:eastAsia="MS Mincho"/>
          <w:b/>
          <w:lang w:eastAsia="ja-JP"/>
        </w:rPr>
      </w:pPr>
      <w:r>
        <w:rPr>
          <w:rFonts w:eastAsia="MS Mincho"/>
          <w:lang w:eastAsia="ja-JP"/>
        </w:rPr>
        <w:t xml:space="preserve">FFS: multiplexing of multiple control channels in a </w:t>
      </w:r>
      <w:proofErr w:type="spellStart"/>
      <w:r>
        <w:rPr>
          <w:rFonts w:eastAsia="MS Mincho"/>
          <w:lang w:eastAsia="ja-JP"/>
        </w:rPr>
        <w:t>subband</w:t>
      </w:r>
      <w:proofErr w:type="spellEnd"/>
    </w:p>
    <w:p w14:paraId="7D75F907" w14:textId="77777777" w:rsidR="00230310" w:rsidRDefault="00230310" w:rsidP="009A0611">
      <w:pPr>
        <w:pStyle w:val="BodyText"/>
      </w:pPr>
    </w:p>
    <w:p w14:paraId="31DF6CD7" w14:textId="77777777" w:rsidR="00230310" w:rsidRDefault="00230310" w:rsidP="009A0611">
      <w:pPr>
        <w:pStyle w:val="BodyText"/>
      </w:pPr>
      <w:r>
        <w:t>In this contribution we discuss some of the open issues in the above agreement.</w:t>
      </w:r>
    </w:p>
    <w:p w14:paraId="635F5223" w14:textId="77777777" w:rsidR="004B1C8B" w:rsidRDefault="00230310" w:rsidP="00230310">
      <w:pPr>
        <w:pStyle w:val="Heading1"/>
        <w:spacing w:before="180"/>
        <w:ind w:left="562" w:hanging="562"/>
      </w:pPr>
      <w:r>
        <w:t>Discussion</w:t>
      </w:r>
    </w:p>
    <w:p w14:paraId="5ADF0758" w14:textId="5C05585A" w:rsidR="00230310" w:rsidRDefault="00230310" w:rsidP="00230310">
      <w:pPr>
        <w:pStyle w:val="BodyText"/>
      </w:pPr>
      <w:r>
        <w:t xml:space="preserve">A control </w:t>
      </w:r>
      <w:proofErr w:type="spellStart"/>
      <w:r>
        <w:t>subband</w:t>
      </w:r>
      <w:proofErr w:type="spellEnd"/>
      <w:r>
        <w:t xml:space="preserve"> is a set of resource blocks in the frequency domain. These resource blocks can either be contiguous or non-contiguous. To simplify the design, it is preferable that a single control channel is within one control </w:t>
      </w:r>
      <w:proofErr w:type="spellStart"/>
      <w:r>
        <w:t>subband</w:t>
      </w:r>
      <w:proofErr w:type="spellEnd"/>
      <w:r>
        <w:t xml:space="preserve"> (and not multiple control </w:t>
      </w:r>
      <w:proofErr w:type="spellStart"/>
      <w:r>
        <w:t>subbands</w:t>
      </w:r>
      <w:proofErr w:type="spellEnd"/>
      <w:r>
        <w:t>).</w:t>
      </w:r>
      <w:r w:rsidR="00AB36A3">
        <w:t xml:space="preserve"> Clearly, the control </w:t>
      </w:r>
      <w:proofErr w:type="spellStart"/>
      <w:r w:rsidR="00AB36A3">
        <w:t>subband</w:t>
      </w:r>
      <w:proofErr w:type="spellEnd"/>
      <w:r w:rsidR="00AB36A3">
        <w:t xml:space="preserve"> must be wide enough to encompass the largest possible control channel in this case.</w:t>
      </w:r>
      <w:r>
        <w:t xml:space="preserve"> If frequency diversity is desirable, the </w:t>
      </w:r>
      <w:r w:rsidR="007C7533">
        <w:t>resource</w:t>
      </w:r>
      <w:r>
        <w:t xml:space="preserve"> blocks in a control </w:t>
      </w:r>
      <w:proofErr w:type="spellStart"/>
      <w:r>
        <w:t>subband</w:t>
      </w:r>
      <w:proofErr w:type="spellEnd"/>
      <w:r>
        <w:t xml:space="preserve"> can be spread out in frequency and hence there is no benefit of a control channel spanning multiple control </w:t>
      </w:r>
      <w:proofErr w:type="spellStart"/>
      <w:r>
        <w:t>subbands</w:t>
      </w:r>
      <w:proofErr w:type="spellEnd"/>
      <w:r>
        <w:t>.</w:t>
      </w:r>
    </w:p>
    <w:p w14:paraId="392993C2" w14:textId="77777777" w:rsidR="00230310" w:rsidRPr="00627565" w:rsidRDefault="00230310" w:rsidP="00230310">
      <w:pPr>
        <w:pStyle w:val="BodyText"/>
        <w:rPr>
          <w:b/>
        </w:rPr>
      </w:pPr>
      <w:r w:rsidRPr="00627565">
        <w:rPr>
          <w:b/>
        </w:rPr>
        <w:t xml:space="preserve">Proposal: A control channel is transmitted in one control </w:t>
      </w:r>
      <w:proofErr w:type="spellStart"/>
      <w:r w:rsidRPr="00627565">
        <w:rPr>
          <w:b/>
        </w:rPr>
        <w:t>subband</w:t>
      </w:r>
      <w:proofErr w:type="spellEnd"/>
      <w:r w:rsidRPr="00627565">
        <w:rPr>
          <w:b/>
        </w:rPr>
        <w:t>.</w:t>
      </w:r>
    </w:p>
    <w:p w14:paraId="6A3A2F28" w14:textId="77777777" w:rsidR="007C7533" w:rsidRPr="007C7533" w:rsidRDefault="007C7533" w:rsidP="007C7533">
      <w:pPr>
        <w:pStyle w:val="BodyText"/>
      </w:pPr>
      <w:r>
        <w:t xml:space="preserve">Depending on the payload size of a control channel, there could be multiple control channels in one control </w:t>
      </w:r>
      <w:proofErr w:type="spellStart"/>
      <w:r>
        <w:t>subband</w:t>
      </w:r>
      <w:proofErr w:type="spellEnd"/>
      <w:r>
        <w:t>.</w:t>
      </w:r>
    </w:p>
    <w:p w14:paraId="2B7960C5" w14:textId="0E4BB05E" w:rsidR="007C7533" w:rsidRPr="007C7533" w:rsidRDefault="007C7533" w:rsidP="00230310">
      <w:pPr>
        <w:pStyle w:val="BodyText"/>
        <w:rPr>
          <w:b/>
        </w:rPr>
      </w:pPr>
      <w:r w:rsidRPr="007C7533">
        <w:rPr>
          <w:b/>
        </w:rPr>
        <w:t xml:space="preserve">Proposal: There could be multiple control channel </w:t>
      </w:r>
      <w:r w:rsidR="00AB36A3" w:rsidRPr="007C7533">
        <w:rPr>
          <w:b/>
        </w:rPr>
        <w:t>candidates</w:t>
      </w:r>
      <w:r w:rsidRPr="007C7533">
        <w:rPr>
          <w:b/>
        </w:rPr>
        <w:t xml:space="preserve"> in</w:t>
      </w:r>
      <w:r w:rsidR="00AB36A3">
        <w:rPr>
          <w:b/>
        </w:rPr>
        <w:t xml:space="preserve"> </w:t>
      </w:r>
      <w:r w:rsidRPr="007C7533">
        <w:rPr>
          <w:b/>
        </w:rPr>
        <w:t xml:space="preserve">a control </w:t>
      </w:r>
      <w:proofErr w:type="spellStart"/>
      <w:r w:rsidRPr="007C7533">
        <w:rPr>
          <w:b/>
        </w:rPr>
        <w:t>subband</w:t>
      </w:r>
      <w:proofErr w:type="spellEnd"/>
      <w:r w:rsidRPr="007C7533">
        <w:rPr>
          <w:b/>
        </w:rPr>
        <w:t>.</w:t>
      </w:r>
    </w:p>
    <w:p w14:paraId="0B165CAF" w14:textId="4CD7ED18" w:rsidR="00230310" w:rsidRDefault="00230310" w:rsidP="00230310">
      <w:pPr>
        <w:pStyle w:val="BodyText"/>
      </w:pPr>
      <w:r>
        <w:t xml:space="preserve">The size of a control </w:t>
      </w:r>
      <w:proofErr w:type="spellStart"/>
      <w:r>
        <w:t>subband</w:t>
      </w:r>
      <w:proofErr w:type="spellEnd"/>
      <w:r>
        <w:t xml:space="preserve"> should allow for the largest possible control channel (i.e. the largest combination of DCI payload and aggregation level). It also define</w:t>
      </w:r>
      <w:r w:rsidR="00AB36A3">
        <w:t>s</w:t>
      </w:r>
      <w:r>
        <w:t xml:space="preserve"> the smallest possible UE bandwidth, i.e. a UE not capable of receiving at least one control </w:t>
      </w:r>
      <w:proofErr w:type="spellStart"/>
      <w:r>
        <w:t>subband</w:t>
      </w:r>
      <w:proofErr w:type="spellEnd"/>
      <w:r>
        <w:t xml:space="preserve"> would not be able to access the system. For lower carrier frequencies, a control </w:t>
      </w:r>
      <w:proofErr w:type="spellStart"/>
      <w:r>
        <w:t>subband</w:t>
      </w:r>
      <w:proofErr w:type="spellEnd"/>
      <w:r>
        <w:t xml:space="preserve"> of approximately 5 MHz seems to be a good choice. For higher carrier frequencies, a somewhat larger control </w:t>
      </w:r>
      <w:proofErr w:type="spellStart"/>
      <w:r>
        <w:t>subband</w:t>
      </w:r>
      <w:proofErr w:type="spellEnd"/>
      <w:r>
        <w:t xml:space="preserve"> of around 20 MHz can be </w:t>
      </w:r>
      <w:r w:rsidR="00AB36A3">
        <w:t>considered as the spectrum allocations in these cases typically are larger</w:t>
      </w:r>
      <w:r>
        <w:t xml:space="preserve">. These bandwidths </w:t>
      </w:r>
      <w:r w:rsidR="00AB36A3">
        <w:t>need</w:t>
      </w:r>
      <w:r>
        <w:t xml:space="preserve"> to be expressed in terms of resource block</w:t>
      </w:r>
      <w:r w:rsidR="00627565">
        <w:t xml:space="preserve">s (around 25 RBs @ 15 kHz, 6 RBs @ 60 kHz, </w:t>
      </w:r>
      <w:proofErr w:type="spellStart"/>
      <w:r w:rsidR="00627565">
        <w:t>etc</w:t>
      </w:r>
      <w:proofErr w:type="spellEnd"/>
      <w:r w:rsidR="00627565">
        <w:t xml:space="preserve"> for lower carrier frequencies, 25 RBs @ 60 kHz, 12 RBs @ 120 kHz, 6 RBs @ 240 kHz, </w:t>
      </w:r>
      <w:proofErr w:type="spellStart"/>
      <w:r w:rsidR="00627565">
        <w:t>etc</w:t>
      </w:r>
      <w:proofErr w:type="spellEnd"/>
      <w:r w:rsidR="00627565">
        <w:t>).</w:t>
      </w:r>
    </w:p>
    <w:p w14:paraId="73EE6BEE" w14:textId="336B725C" w:rsidR="00627565" w:rsidRDefault="00627565" w:rsidP="00230310">
      <w:pPr>
        <w:pStyle w:val="BodyText"/>
        <w:rPr>
          <w:b/>
        </w:rPr>
      </w:pPr>
      <w:r w:rsidRPr="00627565">
        <w:rPr>
          <w:b/>
        </w:rPr>
        <w:t xml:space="preserve">Proposal: A control </w:t>
      </w:r>
      <w:proofErr w:type="spellStart"/>
      <w:r w:rsidRPr="00627565">
        <w:rPr>
          <w:b/>
        </w:rPr>
        <w:t>subband</w:t>
      </w:r>
      <w:proofErr w:type="spellEnd"/>
      <w:r w:rsidRPr="00627565">
        <w:rPr>
          <w:b/>
        </w:rPr>
        <w:t xml:space="preserve"> is in the order of 5 MHz for lower carrier frequencies and 20 MHz at higher carrier frequencies.</w:t>
      </w:r>
    </w:p>
    <w:p w14:paraId="1CAF78CF" w14:textId="0BF86D3F" w:rsidR="00627565" w:rsidRDefault="007C7533" w:rsidP="00230310">
      <w:pPr>
        <w:pStyle w:val="BodyText"/>
      </w:pPr>
      <w:r>
        <w:t xml:space="preserve">Clearly, the UE </w:t>
      </w:r>
      <w:r w:rsidR="002E444B">
        <w:t xml:space="preserve">needs to </w:t>
      </w:r>
      <w:r w:rsidR="00FE1A94">
        <w:t xml:space="preserve">know where to find its control </w:t>
      </w:r>
      <w:proofErr w:type="spellStart"/>
      <w:r w:rsidR="00FE1A94">
        <w:t>s</w:t>
      </w:r>
      <w:r w:rsidR="002E444B">
        <w:t>ubband</w:t>
      </w:r>
      <w:proofErr w:type="spellEnd"/>
      <w:r w:rsidR="002E444B">
        <w:t xml:space="preserve">(s). At least one control </w:t>
      </w:r>
      <w:proofErr w:type="spellStart"/>
      <w:r w:rsidR="002E444B">
        <w:t>subband</w:t>
      </w:r>
      <w:proofErr w:type="spellEnd"/>
      <w:r w:rsidR="002E444B">
        <w:t xml:space="preserve"> needs to be known from initial access</w:t>
      </w:r>
      <w:r w:rsidR="00AB36A3">
        <w:t>,</w:t>
      </w:r>
      <w:r w:rsidR="002E444B">
        <w:t xml:space="preserve"> e.g. the position of a sync signal or indicate</w:t>
      </w:r>
      <w:r w:rsidR="00AB36A3">
        <w:t>d</w:t>
      </w:r>
      <w:r w:rsidR="002E444B">
        <w:t xml:space="preserve"> in the PBCH, and used for at least delivery of common information (paging, random-access response, </w:t>
      </w:r>
      <w:proofErr w:type="spellStart"/>
      <w:r w:rsidR="002E444B">
        <w:t>etc</w:t>
      </w:r>
      <w:proofErr w:type="spellEnd"/>
      <w:r w:rsidR="002E444B">
        <w:t xml:space="preserve">) although in principle also unicast control information could be provided </w:t>
      </w:r>
      <w:r w:rsidR="00BC0FFC">
        <w:t xml:space="preserve">in this control </w:t>
      </w:r>
      <w:proofErr w:type="spellStart"/>
      <w:r w:rsidR="00BC0FFC">
        <w:t>subband</w:t>
      </w:r>
      <w:proofErr w:type="spellEnd"/>
      <w:r w:rsidR="002E444B">
        <w:t xml:space="preserve">. In essence this control </w:t>
      </w:r>
      <w:proofErr w:type="spellStart"/>
      <w:r w:rsidR="002E444B">
        <w:t>subband</w:t>
      </w:r>
      <w:proofErr w:type="spellEnd"/>
      <w:r w:rsidR="002E444B">
        <w:t xml:space="preserve"> would contain the common search space. The other control </w:t>
      </w:r>
      <w:proofErr w:type="spellStart"/>
      <w:r w:rsidR="002E444B">
        <w:t>subbands</w:t>
      </w:r>
      <w:proofErr w:type="spellEnd"/>
      <w:r w:rsidR="002E444B">
        <w:t xml:space="preserve"> can be configured on a per-UE basis using RRC signaling and used for delivery of unicast control information (i.e. corresponding to the UE-</w:t>
      </w:r>
      <w:r w:rsidR="00AB36A3">
        <w:t>specific</w:t>
      </w:r>
      <w:r w:rsidR="002E444B">
        <w:t xml:space="preserve"> search space).</w:t>
      </w:r>
    </w:p>
    <w:p w14:paraId="35EE9765" w14:textId="5748F085" w:rsidR="002E444B" w:rsidRPr="002E444B" w:rsidRDefault="002E444B" w:rsidP="00230310">
      <w:pPr>
        <w:pStyle w:val="BodyText"/>
        <w:rPr>
          <w:b/>
        </w:rPr>
      </w:pPr>
      <w:r w:rsidRPr="002E444B">
        <w:rPr>
          <w:b/>
        </w:rPr>
        <w:t xml:space="preserve">Proposal: The location of at least one control </w:t>
      </w:r>
      <w:proofErr w:type="spellStart"/>
      <w:r w:rsidRPr="002E444B">
        <w:rPr>
          <w:b/>
        </w:rPr>
        <w:t>suband</w:t>
      </w:r>
      <w:proofErr w:type="spellEnd"/>
      <w:r w:rsidRPr="002E444B">
        <w:rPr>
          <w:b/>
        </w:rPr>
        <w:t xml:space="preserve"> is provided as part of the initial access procedures.</w:t>
      </w:r>
    </w:p>
    <w:p w14:paraId="243FF084" w14:textId="31B96E1E" w:rsidR="002E444B" w:rsidRPr="002E444B" w:rsidRDefault="002E444B" w:rsidP="00230310">
      <w:pPr>
        <w:pStyle w:val="BodyText"/>
        <w:rPr>
          <w:b/>
        </w:rPr>
      </w:pPr>
      <w:r w:rsidRPr="002E444B">
        <w:rPr>
          <w:b/>
        </w:rPr>
        <w:t xml:space="preserve">Proposal: The location of the remaining control </w:t>
      </w:r>
      <w:proofErr w:type="spellStart"/>
      <w:r w:rsidRPr="002E444B">
        <w:rPr>
          <w:b/>
        </w:rPr>
        <w:t>subband</w:t>
      </w:r>
      <w:proofErr w:type="spellEnd"/>
      <w:r w:rsidRPr="002E444B">
        <w:rPr>
          <w:b/>
        </w:rPr>
        <w:t>(s) can be configured per UE using RRC signaling.</w:t>
      </w:r>
    </w:p>
    <w:p w14:paraId="6B6B5DBB" w14:textId="10F7B54A" w:rsidR="002E444B" w:rsidRDefault="002E444B" w:rsidP="00230310">
      <w:pPr>
        <w:pStyle w:val="BodyText"/>
      </w:pPr>
    </w:p>
    <w:p w14:paraId="09F29028" w14:textId="399111D1" w:rsidR="002E444B" w:rsidRDefault="002E444B" w:rsidP="00230310">
      <w:pPr>
        <w:pStyle w:val="BodyText"/>
      </w:pPr>
    </w:p>
    <w:p w14:paraId="0D655D1D" w14:textId="77777777" w:rsidR="002E444B" w:rsidRPr="00230310" w:rsidRDefault="002E444B" w:rsidP="00230310">
      <w:pPr>
        <w:pStyle w:val="BodyText"/>
      </w:pPr>
    </w:p>
    <w:p w14:paraId="6C34731C" w14:textId="54845B05" w:rsidR="00DA7D33" w:rsidRDefault="00DA7D33" w:rsidP="00DA7D33">
      <w:pPr>
        <w:pStyle w:val="Heading1"/>
        <w:spacing w:before="180"/>
        <w:ind w:left="562" w:hanging="562"/>
      </w:pPr>
      <w:r>
        <w:t>Conclusion</w:t>
      </w:r>
    </w:p>
    <w:p w14:paraId="74A4B910" w14:textId="31DCB8BA" w:rsidR="002E444B" w:rsidRPr="002E444B" w:rsidRDefault="002E444B" w:rsidP="002E444B">
      <w:pPr>
        <w:pStyle w:val="BodyText"/>
      </w:pPr>
      <w:r>
        <w:t>The following proposals are made:</w:t>
      </w:r>
    </w:p>
    <w:p w14:paraId="7ADD07F6" w14:textId="7BA78AAA" w:rsidR="002E444B" w:rsidRPr="002E444B" w:rsidRDefault="002E444B" w:rsidP="002E444B">
      <w:pPr>
        <w:pStyle w:val="BodyText"/>
        <w:numPr>
          <w:ilvl w:val="0"/>
          <w:numId w:val="22"/>
        </w:numPr>
      </w:pPr>
      <w:r w:rsidRPr="002E444B">
        <w:t xml:space="preserve">A control channel is transmitted in one control </w:t>
      </w:r>
      <w:proofErr w:type="spellStart"/>
      <w:r w:rsidRPr="002E444B">
        <w:t>subband</w:t>
      </w:r>
      <w:proofErr w:type="spellEnd"/>
      <w:r w:rsidRPr="002E444B">
        <w:t>.</w:t>
      </w:r>
    </w:p>
    <w:p w14:paraId="4078F51F" w14:textId="25216069" w:rsidR="002E444B" w:rsidRPr="002E444B" w:rsidRDefault="002E444B" w:rsidP="002E444B">
      <w:pPr>
        <w:pStyle w:val="BodyText"/>
        <w:numPr>
          <w:ilvl w:val="0"/>
          <w:numId w:val="22"/>
        </w:numPr>
      </w:pPr>
      <w:r w:rsidRPr="002E444B">
        <w:t xml:space="preserve">There could be multiple control channel </w:t>
      </w:r>
      <w:r w:rsidR="00AB36A3" w:rsidRPr="002E444B">
        <w:t>candidates</w:t>
      </w:r>
      <w:r w:rsidRPr="002E444B">
        <w:t xml:space="preserve"> in</w:t>
      </w:r>
      <w:r w:rsidR="00CC260C">
        <w:t xml:space="preserve"> </w:t>
      </w:r>
      <w:r w:rsidRPr="002E444B">
        <w:t xml:space="preserve">a control </w:t>
      </w:r>
      <w:proofErr w:type="spellStart"/>
      <w:r w:rsidRPr="002E444B">
        <w:t>subband</w:t>
      </w:r>
      <w:proofErr w:type="spellEnd"/>
      <w:r w:rsidRPr="002E444B">
        <w:t>.</w:t>
      </w:r>
    </w:p>
    <w:p w14:paraId="41EE024C" w14:textId="68560327" w:rsidR="002E444B" w:rsidRPr="002E444B" w:rsidRDefault="002E444B" w:rsidP="002E444B">
      <w:pPr>
        <w:pStyle w:val="BodyText"/>
        <w:numPr>
          <w:ilvl w:val="0"/>
          <w:numId w:val="22"/>
        </w:numPr>
      </w:pPr>
      <w:r w:rsidRPr="002E444B">
        <w:t xml:space="preserve">A control </w:t>
      </w:r>
      <w:proofErr w:type="spellStart"/>
      <w:r w:rsidRPr="002E444B">
        <w:t>subband</w:t>
      </w:r>
      <w:proofErr w:type="spellEnd"/>
      <w:r w:rsidRPr="002E444B">
        <w:t xml:space="preserve"> is in the order of 5 MHz for lower carrier frequencies and 20 MHz at higher carrier frequencies.</w:t>
      </w:r>
    </w:p>
    <w:p w14:paraId="47553639" w14:textId="46C3E867" w:rsidR="002E444B" w:rsidRPr="002E444B" w:rsidRDefault="002E444B" w:rsidP="002E444B">
      <w:pPr>
        <w:pStyle w:val="BodyText"/>
        <w:numPr>
          <w:ilvl w:val="0"/>
          <w:numId w:val="22"/>
        </w:numPr>
      </w:pPr>
      <w:r w:rsidRPr="002E444B">
        <w:t xml:space="preserve">The location of at least one control </w:t>
      </w:r>
      <w:proofErr w:type="spellStart"/>
      <w:r w:rsidRPr="002E444B">
        <w:t>suband</w:t>
      </w:r>
      <w:proofErr w:type="spellEnd"/>
      <w:r w:rsidRPr="002E444B">
        <w:t xml:space="preserve"> is provided as part of the initial access procedures.</w:t>
      </w:r>
    </w:p>
    <w:p w14:paraId="2B0E0937" w14:textId="64B78D35" w:rsidR="002E444B" w:rsidRPr="002E444B" w:rsidRDefault="002E444B" w:rsidP="002E444B">
      <w:pPr>
        <w:pStyle w:val="BodyText"/>
        <w:numPr>
          <w:ilvl w:val="0"/>
          <w:numId w:val="22"/>
        </w:numPr>
      </w:pPr>
      <w:r w:rsidRPr="002E444B">
        <w:t xml:space="preserve">The location of the remaining control </w:t>
      </w:r>
      <w:proofErr w:type="spellStart"/>
      <w:r w:rsidRPr="002E444B">
        <w:t>subband</w:t>
      </w:r>
      <w:proofErr w:type="spellEnd"/>
      <w:r w:rsidRPr="002E444B">
        <w:t>(s) can be configured per UE using RRC signaling.</w:t>
      </w:r>
    </w:p>
    <w:p w14:paraId="01321F07" w14:textId="77777777" w:rsidR="002E444B" w:rsidRPr="002E444B" w:rsidRDefault="002E444B" w:rsidP="002E444B">
      <w:pPr>
        <w:pStyle w:val="BodyText"/>
      </w:pPr>
    </w:p>
    <w:sectPr w:rsidR="002E444B" w:rsidRPr="002E444B" w:rsidSect="00C628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C33134"/>
    <w:multiLevelType w:val="hybridMultilevel"/>
    <w:tmpl w:val="882EE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8B63F3"/>
    <w:multiLevelType w:val="hybridMultilevel"/>
    <w:tmpl w:val="617E96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2F02AF"/>
    <w:multiLevelType w:val="hybridMultilevel"/>
    <w:tmpl w:val="2E9A29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500138"/>
    <w:multiLevelType w:val="hybridMultilevel"/>
    <w:tmpl w:val="BAE8C508"/>
    <w:lvl w:ilvl="0" w:tplc="578054F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B6D77A">
      <w:start w:val="12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15CA3D5A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7CBD2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A88F2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44AA5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36FBF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62FDD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D80BCE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CA82087"/>
    <w:multiLevelType w:val="hybridMultilevel"/>
    <w:tmpl w:val="1CB0F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CA3D2B"/>
    <w:multiLevelType w:val="hybridMultilevel"/>
    <w:tmpl w:val="9692D3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1F2EC7"/>
    <w:multiLevelType w:val="hybridMultilevel"/>
    <w:tmpl w:val="9266DAE2"/>
    <w:lvl w:ilvl="0" w:tplc="52167A46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0F61715"/>
    <w:multiLevelType w:val="hybridMultilevel"/>
    <w:tmpl w:val="8626FD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C2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43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8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E9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A2067D4"/>
    <w:multiLevelType w:val="hybridMultilevel"/>
    <w:tmpl w:val="FDC2A2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E66DDD"/>
    <w:multiLevelType w:val="hybridMultilevel"/>
    <w:tmpl w:val="04DCE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395066"/>
    <w:multiLevelType w:val="hybridMultilevel"/>
    <w:tmpl w:val="20A0FA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490556"/>
    <w:multiLevelType w:val="hybridMultilevel"/>
    <w:tmpl w:val="E354A4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A6781E"/>
    <w:multiLevelType w:val="hybridMultilevel"/>
    <w:tmpl w:val="F0B4D5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B05796"/>
    <w:multiLevelType w:val="hybridMultilevel"/>
    <w:tmpl w:val="AD1691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1669BD"/>
    <w:multiLevelType w:val="hybridMultilevel"/>
    <w:tmpl w:val="684497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323596"/>
    <w:multiLevelType w:val="hybridMultilevel"/>
    <w:tmpl w:val="F982AF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D32FD1"/>
    <w:multiLevelType w:val="hybridMultilevel"/>
    <w:tmpl w:val="56521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ED18BC"/>
    <w:multiLevelType w:val="multilevel"/>
    <w:tmpl w:val="32FEA0A4"/>
    <w:lvl w:ilvl="0">
      <w:start w:val="1"/>
      <w:numFmt w:val="decimal"/>
      <w:pStyle w:val="Heading1"/>
      <w:lvlText w:val="%1."/>
      <w:lvlJc w:val="left"/>
      <w:pPr>
        <w:tabs>
          <w:tab w:val="num" w:pos="3544"/>
        </w:tabs>
        <w:ind w:left="3544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19" w15:restartNumberingAfterBreak="0">
    <w:nsid w:val="7CF80E4D"/>
    <w:multiLevelType w:val="hybridMultilevel"/>
    <w:tmpl w:val="B29EF2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9"/>
  </w:num>
  <w:num w:numId="3">
    <w:abstractNumId w:val="0"/>
  </w:num>
  <w:num w:numId="4">
    <w:abstractNumId w:val="18"/>
  </w:num>
  <w:num w:numId="5">
    <w:abstractNumId w:val="15"/>
  </w:num>
  <w:num w:numId="6">
    <w:abstractNumId w:val="12"/>
  </w:num>
  <w:num w:numId="7">
    <w:abstractNumId w:val="17"/>
  </w:num>
  <w:num w:numId="8">
    <w:abstractNumId w:val="16"/>
  </w:num>
  <w:num w:numId="9">
    <w:abstractNumId w:val="7"/>
  </w:num>
  <w:num w:numId="10">
    <w:abstractNumId w:val="2"/>
  </w:num>
  <w:num w:numId="11">
    <w:abstractNumId w:val="11"/>
  </w:num>
  <w:num w:numId="12">
    <w:abstractNumId w:val="19"/>
  </w:num>
  <w:num w:numId="13">
    <w:abstractNumId w:val="1"/>
  </w:num>
  <w:num w:numId="14">
    <w:abstractNumId w:val="3"/>
  </w:num>
  <w:num w:numId="15">
    <w:abstractNumId w:val="8"/>
  </w:num>
  <w:num w:numId="16">
    <w:abstractNumId w:val="4"/>
  </w:num>
  <w:num w:numId="17">
    <w:abstractNumId w:val="18"/>
  </w:num>
  <w:num w:numId="18">
    <w:abstractNumId w:val="10"/>
  </w:num>
  <w:num w:numId="19">
    <w:abstractNumId w:val="13"/>
  </w:num>
  <w:num w:numId="20">
    <w:abstractNumId w:val="6"/>
  </w:num>
  <w:num w:numId="21">
    <w:abstractNumId w:val="5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8ED"/>
    <w:rsid w:val="000208D5"/>
    <w:rsid w:val="00024F13"/>
    <w:rsid w:val="00106ABF"/>
    <w:rsid w:val="001B243C"/>
    <w:rsid w:val="001F0CAF"/>
    <w:rsid w:val="00213303"/>
    <w:rsid w:val="00230310"/>
    <w:rsid w:val="0028065B"/>
    <w:rsid w:val="00286B6D"/>
    <w:rsid w:val="002E444B"/>
    <w:rsid w:val="0034475B"/>
    <w:rsid w:val="0048093F"/>
    <w:rsid w:val="0049799A"/>
    <w:rsid w:val="004B1C8B"/>
    <w:rsid w:val="0052140E"/>
    <w:rsid w:val="005514B5"/>
    <w:rsid w:val="005838EA"/>
    <w:rsid w:val="00627565"/>
    <w:rsid w:val="006A286A"/>
    <w:rsid w:val="006B481E"/>
    <w:rsid w:val="006D0FE7"/>
    <w:rsid w:val="006D4A4B"/>
    <w:rsid w:val="007C7533"/>
    <w:rsid w:val="008A0342"/>
    <w:rsid w:val="00942F98"/>
    <w:rsid w:val="009A0611"/>
    <w:rsid w:val="009E46CD"/>
    <w:rsid w:val="00AB36A3"/>
    <w:rsid w:val="00B03ED8"/>
    <w:rsid w:val="00B368D9"/>
    <w:rsid w:val="00BB2430"/>
    <w:rsid w:val="00BB7B54"/>
    <w:rsid w:val="00BC0FFC"/>
    <w:rsid w:val="00BE4063"/>
    <w:rsid w:val="00C1560A"/>
    <w:rsid w:val="00C62894"/>
    <w:rsid w:val="00C8496C"/>
    <w:rsid w:val="00CA5E5D"/>
    <w:rsid w:val="00CB5A40"/>
    <w:rsid w:val="00CC1CA7"/>
    <w:rsid w:val="00CC260C"/>
    <w:rsid w:val="00CE6CB0"/>
    <w:rsid w:val="00D03072"/>
    <w:rsid w:val="00D577BB"/>
    <w:rsid w:val="00D84D5E"/>
    <w:rsid w:val="00DA7D33"/>
    <w:rsid w:val="00DB6F36"/>
    <w:rsid w:val="00DD11CB"/>
    <w:rsid w:val="00DE0D8A"/>
    <w:rsid w:val="00DE1BAA"/>
    <w:rsid w:val="00E10C1F"/>
    <w:rsid w:val="00E20E32"/>
    <w:rsid w:val="00EB26FB"/>
    <w:rsid w:val="00F346B4"/>
    <w:rsid w:val="00F618ED"/>
    <w:rsid w:val="00F81C1C"/>
    <w:rsid w:val="00F92325"/>
    <w:rsid w:val="00F92540"/>
    <w:rsid w:val="00FE1148"/>
    <w:rsid w:val="00FE1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BCDB635"/>
  <w15:chartTrackingRefBased/>
  <w15:docId w15:val="{54A907FB-0818-4EAE-A2EF-CCFECD25D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F618ED"/>
    <w:pPr>
      <w:spacing w:after="0" w:line="240" w:lineRule="auto"/>
    </w:pPr>
    <w:rPr>
      <w:rFonts w:ascii="Times New Roman"/>
      <w:sz w:val="20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F618ED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618ED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618ED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618ED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F618ED"/>
    <w:rPr>
      <w:rFonts w:ascii="Helvetica" w:eastAsia="MS Mincho" w:hAnsi="Helvetica" w:cs="Arial"/>
      <w:b/>
      <w:bCs/>
      <w:kern w:val="32"/>
      <w:sz w:val="28"/>
      <w:szCs w:val="32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618ED"/>
    <w:rPr>
      <w:rFonts w:ascii="Helvetica" w:eastAsia="MS Mincho" w:hAnsi="Helvetica" w:cs="Arial"/>
      <w:b/>
      <w:bCs/>
      <w:iCs/>
      <w:sz w:val="20"/>
      <w:szCs w:val="28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618ED"/>
    <w:rPr>
      <w:rFonts w:ascii="Arial" w:eastAsia="MS Mincho" w:hAnsi="Arial" w:cs="Arial"/>
      <w:b/>
      <w:bCs/>
      <w:sz w:val="26"/>
      <w:szCs w:val="26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618ED"/>
    <w:rPr>
      <w:rFonts w:ascii="Times New Roman" w:eastAsia="MS Mincho"/>
      <w:b/>
      <w:bCs/>
      <w:sz w:val="28"/>
      <w:szCs w:val="28"/>
    </w:rPr>
  </w:style>
  <w:style w:type="paragraph" w:styleId="BodyText">
    <w:name w:val="Body Text"/>
    <w:aliases w:val="bt"/>
    <w:basedOn w:val="Normal"/>
    <w:link w:val="BodyTextChar"/>
    <w:rsid w:val="00F618ED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618ED"/>
    <w:rPr>
      <w:rFonts w:ascii="Times New Roman" w:eastAsia="MS Mincho"/>
      <w:sz w:val="20"/>
      <w:szCs w:val="24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618ED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618ED"/>
    <w:rPr>
      <w:rFonts w:ascii="Arial" w:eastAsia="MS Mincho" w:hAnsi="Arial"/>
      <w:b/>
      <w:sz w:val="20"/>
      <w:szCs w:val="24"/>
    </w:rPr>
  </w:style>
  <w:style w:type="table" w:styleId="TableGrid">
    <w:name w:val="Table Grid"/>
    <w:basedOn w:val="TableNormal"/>
    <w:uiPriority w:val="59"/>
    <w:rsid w:val="000208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9E46CD"/>
    <w:pPr>
      <w:spacing w:after="200"/>
    </w:pPr>
    <w:rPr>
      <w:iCs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62756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27565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27565"/>
    <w:rPr>
      <w:rFonts w:asci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75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7565"/>
    <w:rPr>
      <w:rFonts w:ascii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627565"/>
    <w:pPr>
      <w:spacing w:after="0" w:line="240" w:lineRule="auto"/>
    </w:pPr>
    <w:rPr>
      <w:rFonts w:ascii="Times New Roman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2756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756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E140B0-C5AD-4DED-9236-0C3A98CF06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611</Words>
  <Characters>3485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 Parkvall</dc:creator>
  <cp:keywords/>
  <dc:description/>
  <cp:lastModifiedBy>Stefan Parkvall</cp:lastModifiedBy>
  <cp:revision>2</cp:revision>
  <dcterms:created xsi:type="dcterms:W3CDTF">2016-11-04T12:42:00Z</dcterms:created>
  <dcterms:modified xsi:type="dcterms:W3CDTF">2016-11-04T12:42:00Z</dcterms:modified>
</cp:coreProperties>
</file>